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33633">
      <w:pPr>
        <w:jc w:val="center"/>
        <w:rPr>
          <w:rFonts w:hint="eastAsia" w:ascii="仿宋_GB2312" w:hAnsi="仿宋_GB2312" w:eastAsia="仿宋_GB2312" w:cs="仿宋_GB2312"/>
          <w:b/>
          <w:bCs/>
          <w:color w:val="000000"/>
          <w:kern w:val="0"/>
          <w:sz w:val="48"/>
          <w:szCs w:val="48"/>
          <w:lang w:bidi="ar"/>
        </w:rPr>
      </w:pPr>
      <w:r>
        <w:rPr>
          <w:rFonts w:hint="eastAsia" w:ascii="仿宋_GB2312" w:hAnsi="仿宋_GB2312" w:eastAsia="仿宋_GB2312" w:cs="仿宋_GB2312"/>
          <w:b/>
          <w:bCs/>
          <w:color w:val="000000"/>
          <w:kern w:val="0"/>
          <w:sz w:val="48"/>
          <w:szCs w:val="48"/>
          <w:lang w:bidi="ar"/>
        </w:rPr>
        <w:t>询价函</w:t>
      </w:r>
    </w:p>
    <w:p w14:paraId="6B22FE8B">
      <w:pPr>
        <w:ind w:firstLine="2891" w:firstLineChars="600"/>
        <w:rPr>
          <w:rFonts w:hint="eastAsia" w:ascii="仿宋_GB2312" w:hAnsi="仿宋_GB2312" w:eastAsia="仿宋_GB2312" w:cs="仿宋_GB2312"/>
          <w:b/>
          <w:bCs/>
          <w:color w:val="000000"/>
          <w:kern w:val="0"/>
          <w:sz w:val="48"/>
          <w:szCs w:val="48"/>
          <w:lang w:bidi="ar"/>
        </w:rPr>
      </w:pPr>
    </w:p>
    <w:p w14:paraId="388C074B">
      <w:pPr>
        <w:spacing w:line="560" w:lineRule="exact"/>
        <w:rPr>
          <w:rFonts w:ascii="仿宋_GB2312" w:hAnsi="Calibri" w:eastAsia="仿宋_GB2312" w:cs="Times New Roman"/>
          <w:bCs/>
          <w:sz w:val="32"/>
          <w:szCs w:val="32"/>
        </w:rPr>
      </w:pPr>
      <w:r>
        <w:rPr>
          <w:rFonts w:hint="eastAsia" w:ascii="仿宋_GB2312" w:hAnsi="Calibri" w:eastAsia="仿宋_GB2312" w:cs="Times New Roman"/>
          <w:bCs/>
          <w:sz w:val="32"/>
          <w:szCs w:val="32"/>
        </w:rPr>
        <w:t>贵公司：</w:t>
      </w:r>
    </w:p>
    <w:p w14:paraId="6F009831">
      <w:pPr>
        <w:spacing w:line="560" w:lineRule="exact"/>
        <w:ind w:firstLine="640" w:firstLineChars="200"/>
        <w:rPr>
          <w:rFonts w:ascii="仿宋_GB2312" w:hAnsi="Calibri" w:eastAsia="仿宋_GB2312" w:cs="Times New Roman"/>
          <w:bCs/>
          <w:sz w:val="32"/>
          <w:szCs w:val="32"/>
        </w:rPr>
      </w:pPr>
      <w:r>
        <w:rPr>
          <w:rFonts w:hint="eastAsia" w:ascii="仿宋_GB2312" w:hAnsi="Calibri" w:eastAsia="仿宋_GB2312" w:cs="Times New Roman"/>
          <w:bCs/>
          <w:sz w:val="32"/>
          <w:szCs w:val="32"/>
        </w:rPr>
        <w:t>我公司“济南黄河爆破工程有限责任公司”现需要</w:t>
      </w:r>
      <w:r>
        <w:rPr>
          <w:rFonts w:hint="eastAsia" w:ascii="仿宋_GB2312" w:eastAsia="仿宋_GB2312" w:cs="Times New Roman"/>
          <w:bCs/>
          <w:sz w:val="32"/>
          <w:szCs w:val="32"/>
        </w:rPr>
        <w:t>符合国家职业病相关法律法规、具有相应</w:t>
      </w:r>
      <w:r>
        <w:rPr>
          <w:rFonts w:hint="eastAsia" w:ascii="Arial" w:hAnsi="Arial" w:eastAsia="仿宋_GB2312" w:cs="Arial"/>
          <w:color w:val="000000"/>
          <w:kern w:val="0"/>
          <w:sz w:val="32"/>
          <w:szCs w:val="32"/>
        </w:rPr>
        <w:t>职业卫生技术检测服务</w:t>
      </w:r>
      <w:r>
        <w:rPr>
          <w:rFonts w:hint="eastAsia" w:ascii="仿宋_GB2312" w:eastAsia="仿宋_GB2312" w:cs="Times New Roman"/>
          <w:bCs/>
          <w:sz w:val="32"/>
          <w:szCs w:val="32"/>
        </w:rPr>
        <w:t>资质，能够提供工作场所职业病危害检测技术服务的评价</w:t>
      </w:r>
      <w:r>
        <w:rPr>
          <w:rFonts w:hint="eastAsia" w:ascii="仿宋_GB2312" w:hAnsi="Calibri" w:eastAsia="仿宋_GB2312" w:cs="Times New Roman"/>
          <w:bCs/>
          <w:sz w:val="32"/>
          <w:szCs w:val="32"/>
        </w:rPr>
        <w:t>机构。需求地点：“</w:t>
      </w:r>
      <w:r>
        <w:rPr>
          <w:rFonts w:hint="eastAsia" w:ascii="仿宋_GB2312" w:hAnsi="宋体" w:eastAsia="仿宋_GB2312" w:cs="Times New Roman"/>
          <w:bCs/>
          <w:sz w:val="32"/>
          <w:szCs w:val="32"/>
        </w:rPr>
        <w:t>山东省济南市章丘区官庄街道长申地村南”，</w:t>
      </w:r>
      <w:r>
        <w:rPr>
          <w:rFonts w:hint="eastAsia" w:ascii="仿宋_GB2312" w:hAnsi="Calibri" w:eastAsia="仿宋_GB2312" w:cs="Times New Roman"/>
          <w:bCs/>
          <w:sz w:val="32"/>
          <w:szCs w:val="32"/>
        </w:rPr>
        <w:t>请及时给予回复</w:t>
      </w:r>
      <w:r>
        <w:rPr>
          <w:rFonts w:ascii="仿宋_GB2312" w:hAnsi="Calibri" w:eastAsia="仿宋_GB2312" w:cs="Times New Roman"/>
          <w:bCs/>
          <w:sz w:val="32"/>
          <w:szCs w:val="32"/>
        </w:rPr>
        <w:t>!</w:t>
      </w:r>
    </w:p>
    <w:p w14:paraId="04DB88BD">
      <w:pPr>
        <w:spacing w:line="560" w:lineRule="exact"/>
        <w:ind w:firstLine="640" w:firstLineChars="200"/>
        <w:rPr>
          <w:rFonts w:ascii="仿宋_GB2312" w:hAnsi="Calibri" w:eastAsia="仿宋_GB2312" w:cs="Times New Roman"/>
          <w:bCs/>
          <w:sz w:val="32"/>
          <w:szCs w:val="32"/>
        </w:rPr>
      </w:pPr>
      <w:r>
        <w:rPr>
          <w:rFonts w:hint="eastAsia" w:ascii="仿宋_GB2312" w:hAnsi="Calibri" w:eastAsia="仿宋_GB2312" w:cs="Times New Roman"/>
          <w:bCs/>
          <w:sz w:val="32"/>
          <w:szCs w:val="32"/>
        </w:rPr>
        <w:t>结算及支付方式:</w:t>
      </w:r>
      <w:r>
        <w:rPr>
          <w:rFonts w:hint="eastAsia" w:ascii="仿宋_GB2312" w:eastAsia="仿宋_GB2312" w:cs="Times New Roman"/>
          <w:bCs/>
          <w:sz w:val="32"/>
          <w:szCs w:val="32"/>
        </w:rPr>
        <w:t>检测完毕</w:t>
      </w:r>
      <w:r>
        <w:rPr>
          <w:rFonts w:hint="eastAsia" w:ascii="仿宋_GB2312" w:hAnsi="Calibri" w:eastAsia="仿宋_GB2312" w:cs="Times New Roman"/>
          <w:bCs/>
          <w:sz w:val="32"/>
          <w:szCs w:val="32"/>
        </w:rPr>
        <w:t>，</w:t>
      </w:r>
      <w:r>
        <w:rPr>
          <w:rFonts w:hint="eastAsia" w:ascii="仿宋_GB2312" w:eastAsia="仿宋_GB2312" w:cs="Times New Roman"/>
          <w:bCs/>
          <w:sz w:val="32"/>
          <w:szCs w:val="32"/>
        </w:rPr>
        <w:t>出具报告及</w:t>
      </w:r>
      <w:r>
        <w:rPr>
          <w:rFonts w:hint="eastAsia" w:ascii="仿宋_GB2312" w:hAnsi="Calibri" w:eastAsia="仿宋_GB2312" w:cs="Times New Roman"/>
          <w:bCs/>
          <w:sz w:val="32"/>
          <w:szCs w:val="32"/>
        </w:rPr>
        <w:t>全额增值税</w:t>
      </w:r>
      <w:r>
        <w:rPr>
          <w:rFonts w:hint="eastAsia" w:ascii="仿宋_GB2312" w:eastAsia="仿宋_GB2312" w:cs="Times New Roman"/>
          <w:bCs/>
          <w:sz w:val="32"/>
          <w:szCs w:val="32"/>
        </w:rPr>
        <w:t>专用</w:t>
      </w:r>
      <w:r>
        <w:rPr>
          <w:rFonts w:hint="eastAsia" w:ascii="仿宋_GB2312" w:hAnsi="Calibri" w:eastAsia="仿宋_GB2312" w:cs="Times New Roman"/>
          <w:bCs/>
          <w:sz w:val="32"/>
          <w:szCs w:val="32"/>
        </w:rPr>
        <w:t>发票后</w:t>
      </w:r>
      <w:r>
        <w:rPr>
          <w:rFonts w:hint="eastAsia" w:ascii="仿宋_GB2312" w:eastAsia="仿宋_GB2312" w:cs="Times New Roman"/>
          <w:bCs/>
          <w:sz w:val="32"/>
          <w:szCs w:val="32"/>
        </w:rPr>
        <w:t>20天内</w:t>
      </w:r>
      <w:r>
        <w:rPr>
          <w:rFonts w:hint="eastAsia" w:ascii="仿宋_GB2312" w:hAnsi="Calibri" w:eastAsia="仿宋_GB2312" w:cs="Times New Roman"/>
          <w:bCs/>
          <w:sz w:val="32"/>
          <w:szCs w:val="32"/>
        </w:rPr>
        <w:t>现汇支付。</w:t>
      </w:r>
    </w:p>
    <w:p w14:paraId="6C46A3F5">
      <w:pPr>
        <w:spacing w:line="560" w:lineRule="exact"/>
        <w:ind w:firstLine="640" w:firstLineChars="200"/>
        <w:rPr>
          <w:rFonts w:hint="eastAsia" w:ascii="仿宋_GB2312" w:eastAsia="仿宋_GB2312" w:cs="Times New Roman"/>
          <w:bCs/>
          <w:sz w:val="32"/>
          <w:szCs w:val="32"/>
        </w:rPr>
      </w:pPr>
      <w:r>
        <w:rPr>
          <w:rFonts w:hint="eastAsia" w:ascii="仿宋_GB2312" w:eastAsia="仿宋_GB2312" w:cs="Times New Roman"/>
          <w:bCs/>
          <w:sz w:val="32"/>
          <w:szCs w:val="32"/>
        </w:rPr>
        <w:t>本次询比价为一次报价，上传报价单价格即为最终报价，与最低价成交。</w:t>
      </w:r>
    </w:p>
    <w:p w14:paraId="5D9AEB0B">
      <w:pPr>
        <w:spacing w:line="560" w:lineRule="exact"/>
        <w:ind w:firstLine="640" w:firstLineChars="200"/>
        <w:rPr>
          <w:rFonts w:hint="eastAsia" w:ascii="仿宋_GB2312" w:eastAsia="仿宋_GB2312" w:cs="Times New Roman"/>
          <w:bCs/>
          <w:sz w:val="32"/>
          <w:szCs w:val="32"/>
        </w:rPr>
      </w:pPr>
      <w:r>
        <w:rPr>
          <w:rFonts w:hint="eastAsia" w:ascii="仿宋_GB2312" w:eastAsia="仿宋_GB2312" w:cs="Times New Roman"/>
          <w:bCs/>
          <w:sz w:val="32"/>
          <w:szCs w:val="32"/>
        </w:rPr>
        <w:t>公告时间：2026年</w:t>
      </w:r>
      <w:r>
        <w:rPr>
          <w:rFonts w:hint="eastAsia" w:ascii="仿宋_GB2312" w:eastAsia="仿宋_GB2312" w:cs="Times New Roman"/>
          <w:bCs/>
          <w:sz w:val="32"/>
          <w:szCs w:val="32"/>
          <w:lang w:val="en-US" w:eastAsia="zh-CN"/>
        </w:rPr>
        <w:t>7</w:t>
      </w:r>
      <w:r>
        <w:rPr>
          <w:rFonts w:hint="eastAsia" w:ascii="仿宋_GB2312" w:eastAsia="仿宋_GB2312" w:cs="Times New Roman"/>
          <w:bCs/>
          <w:sz w:val="32"/>
          <w:szCs w:val="32"/>
        </w:rPr>
        <w:t>月</w:t>
      </w:r>
      <w:r>
        <w:rPr>
          <w:rFonts w:hint="eastAsia" w:ascii="仿宋_GB2312" w:eastAsia="仿宋_GB2312" w:cs="Times New Roman"/>
          <w:bCs/>
          <w:sz w:val="32"/>
          <w:szCs w:val="32"/>
          <w:lang w:val="en-US" w:eastAsia="zh-CN"/>
        </w:rPr>
        <w:t>27</w:t>
      </w:r>
      <w:r>
        <w:rPr>
          <w:rFonts w:hint="eastAsia" w:ascii="仿宋_GB2312" w:eastAsia="仿宋_GB2312" w:cs="Times New Roman"/>
          <w:bCs/>
          <w:sz w:val="32"/>
          <w:szCs w:val="32"/>
        </w:rPr>
        <w:t>日-2026年</w:t>
      </w:r>
      <w:r>
        <w:rPr>
          <w:rFonts w:hint="eastAsia" w:ascii="仿宋_GB2312" w:eastAsia="仿宋_GB2312" w:cs="Times New Roman"/>
          <w:bCs/>
          <w:sz w:val="32"/>
          <w:szCs w:val="32"/>
          <w:lang w:val="en-US" w:eastAsia="zh-CN"/>
        </w:rPr>
        <w:t>8</w:t>
      </w:r>
      <w:r>
        <w:rPr>
          <w:rFonts w:hint="eastAsia" w:ascii="仿宋_GB2312" w:eastAsia="仿宋_GB2312" w:cs="Times New Roman"/>
          <w:bCs/>
          <w:sz w:val="32"/>
          <w:szCs w:val="32"/>
        </w:rPr>
        <w:t>月</w:t>
      </w:r>
      <w:r>
        <w:rPr>
          <w:rFonts w:hint="eastAsia" w:ascii="仿宋_GB2312" w:eastAsia="仿宋_GB2312" w:cs="Times New Roman"/>
          <w:bCs/>
          <w:sz w:val="32"/>
          <w:szCs w:val="32"/>
          <w:lang w:val="en-US" w:eastAsia="zh-CN"/>
        </w:rPr>
        <w:t>2</w:t>
      </w:r>
      <w:r>
        <w:rPr>
          <w:rFonts w:hint="eastAsia" w:ascii="仿宋_GB2312" w:eastAsia="仿宋_GB2312" w:cs="Times New Roman"/>
          <w:bCs/>
          <w:sz w:val="32"/>
          <w:szCs w:val="32"/>
        </w:rPr>
        <w:t>日</w:t>
      </w:r>
    </w:p>
    <w:p w14:paraId="015A14E4">
      <w:pPr>
        <w:spacing w:line="560" w:lineRule="exact"/>
        <w:ind w:firstLine="640" w:firstLineChars="200"/>
        <w:rPr>
          <w:rFonts w:hint="eastAsia" w:ascii="仿宋_GB2312" w:eastAsia="仿宋_GB2312" w:cs="Times New Roman"/>
          <w:bCs/>
          <w:sz w:val="32"/>
          <w:szCs w:val="32"/>
        </w:rPr>
      </w:pPr>
      <w:r>
        <w:rPr>
          <w:rFonts w:hint="eastAsia" w:ascii="仿宋_GB2312" w:eastAsia="仿宋_GB2312" w:cs="Times New Roman"/>
          <w:bCs/>
          <w:sz w:val="32"/>
          <w:szCs w:val="32"/>
        </w:rPr>
        <w:t>评审时间：2026年</w:t>
      </w:r>
      <w:r>
        <w:rPr>
          <w:rFonts w:hint="eastAsia" w:ascii="仿宋_GB2312" w:eastAsia="仿宋_GB2312" w:cs="Times New Roman"/>
          <w:bCs/>
          <w:sz w:val="32"/>
          <w:szCs w:val="32"/>
          <w:lang w:val="en-US" w:eastAsia="zh-CN"/>
        </w:rPr>
        <w:t>8</w:t>
      </w:r>
      <w:r>
        <w:rPr>
          <w:rFonts w:hint="eastAsia" w:ascii="仿宋_GB2312" w:eastAsia="仿宋_GB2312" w:cs="Times New Roman"/>
          <w:bCs/>
          <w:sz w:val="32"/>
          <w:szCs w:val="32"/>
        </w:rPr>
        <w:t>月</w:t>
      </w:r>
      <w:r>
        <w:rPr>
          <w:rFonts w:hint="eastAsia" w:ascii="仿宋_GB2312" w:eastAsia="仿宋_GB2312" w:cs="Times New Roman"/>
          <w:bCs/>
          <w:sz w:val="32"/>
          <w:szCs w:val="32"/>
          <w:lang w:val="en-US" w:eastAsia="zh-CN"/>
        </w:rPr>
        <w:t>5</w:t>
      </w:r>
      <w:r>
        <w:rPr>
          <w:rFonts w:hint="eastAsia" w:ascii="仿宋_GB2312" w:eastAsia="仿宋_GB2312" w:cs="Times New Roman"/>
          <w:bCs/>
          <w:sz w:val="32"/>
          <w:szCs w:val="32"/>
        </w:rPr>
        <w:t>日上午</w:t>
      </w:r>
      <w:r>
        <w:rPr>
          <w:rFonts w:hint="eastAsia" w:ascii="仿宋_GB2312" w:eastAsia="仿宋_GB2312" w:cs="Times New Roman"/>
          <w:bCs/>
          <w:sz w:val="32"/>
          <w:szCs w:val="32"/>
          <w:lang w:val="en-US" w:eastAsia="zh-CN"/>
        </w:rPr>
        <w:t>9</w:t>
      </w:r>
      <w:r>
        <w:rPr>
          <w:rFonts w:hint="eastAsia" w:ascii="仿宋_GB2312" w:eastAsia="仿宋_GB2312" w:cs="Times New Roman"/>
          <w:bCs/>
          <w:sz w:val="32"/>
          <w:szCs w:val="32"/>
        </w:rPr>
        <w:t>点</w:t>
      </w:r>
    </w:p>
    <w:p w14:paraId="5F8B7495">
      <w:pPr>
        <w:spacing w:line="560" w:lineRule="exact"/>
        <w:ind w:firstLine="640" w:firstLineChars="200"/>
        <w:rPr>
          <w:rFonts w:ascii="仿宋_GB2312" w:hAnsi="Calibri" w:eastAsia="仿宋_GB2312" w:cs="Times New Roman"/>
          <w:bCs/>
          <w:sz w:val="32"/>
          <w:szCs w:val="32"/>
        </w:rPr>
      </w:pPr>
      <w:r>
        <w:rPr>
          <w:rFonts w:hint="eastAsia" w:ascii="仿宋_GB2312" w:eastAsia="仿宋_GB2312" w:cs="Times New Roman"/>
          <w:bCs/>
          <w:sz w:val="32"/>
          <w:szCs w:val="32"/>
        </w:rPr>
        <w:t>请贵单位于2026年</w:t>
      </w:r>
      <w:r>
        <w:rPr>
          <w:rFonts w:hint="eastAsia" w:ascii="仿宋_GB2312" w:eastAsia="仿宋_GB2312" w:cs="Times New Roman"/>
          <w:bCs/>
          <w:sz w:val="32"/>
          <w:szCs w:val="32"/>
          <w:lang w:val="en-US" w:eastAsia="zh-CN"/>
        </w:rPr>
        <w:t>8</w:t>
      </w:r>
      <w:r>
        <w:rPr>
          <w:rFonts w:hint="eastAsia" w:ascii="仿宋_GB2312" w:eastAsia="仿宋_GB2312" w:cs="Times New Roman"/>
          <w:bCs/>
          <w:sz w:val="32"/>
          <w:szCs w:val="32"/>
        </w:rPr>
        <w:t>月</w:t>
      </w:r>
      <w:r>
        <w:rPr>
          <w:rFonts w:hint="eastAsia" w:ascii="仿宋_GB2312" w:eastAsia="仿宋_GB2312" w:cs="Times New Roman"/>
          <w:bCs/>
          <w:sz w:val="32"/>
          <w:szCs w:val="32"/>
          <w:lang w:val="en-US" w:eastAsia="zh-CN"/>
        </w:rPr>
        <w:t>5</w:t>
      </w:r>
      <w:r>
        <w:rPr>
          <w:rFonts w:hint="eastAsia" w:ascii="仿宋_GB2312" w:eastAsia="仿宋_GB2312" w:cs="Times New Roman"/>
          <w:bCs/>
          <w:sz w:val="32"/>
          <w:szCs w:val="32"/>
        </w:rPr>
        <w:t>日</w:t>
      </w:r>
      <w:r>
        <w:rPr>
          <w:rFonts w:hint="eastAsia" w:ascii="仿宋_GB2312" w:eastAsia="仿宋_GB2312" w:cs="Times New Roman"/>
          <w:bCs/>
          <w:sz w:val="32"/>
          <w:szCs w:val="32"/>
          <w:lang w:val="en-US" w:eastAsia="zh-CN"/>
        </w:rPr>
        <w:t>9</w:t>
      </w:r>
      <w:r>
        <w:rPr>
          <w:rFonts w:hint="eastAsia" w:ascii="仿宋_GB2312" w:eastAsia="仿宋_GB2312" w:cs="Times New Roman"/>
          <w:bCs/>
          <w:sz w:val="32"/>
          <w:szCs w:val="32"/>
        </w:rPr>
        <w:t>点之前将询价函、营业执照等资料</w:t>
      </w:r>
      <w:bookmarkStart w:id="0" w:name="_GoBack"/>
      <w:bookmarkEnd w:id="0"/>
      <w:r>
        <w:rPr>
          <w:rFonts w:hint="eastAsia" w:ascii="仿宋_GB2312" w:eastAsia="仿宋_GB2312" w:cs="Times New Roman"/>
          <w:bCs/>
          <w:sz w:val="32"/>
          <w:szCs w:val="32"/>
        </w:rPr>
        <w:t>上传至报名网站：（http://bidding.jigang.com.cn/）</w:t>
      </w:r>
    </w:p>
    <w:p w14:paraId="6C9FFB01">
      <w:pPr>
        <w:spacing w:line="560" w:lineRule="exact"/>
        <w:ind w:firstLine="640" w:firstLineChars="200"/>
        <w:rPr>
          <w:rFonts w:ascii="仿宋_GB2312" w:hAnsi="Calibri" w:eastAsia="仿宋_GB2312" w:cs="Times New Roman"/>
          <w:bCs/>
          <w:color w:val="000000"/>
          <w:sz w:val="32"/>
          <w:szCs w:val="32"/>
        </w:rPr>
      </w:pPr>
      <w:r>
        <w:rPr>
          <w:rFonts w:hint="eastAsia" w:ascii="仿宋_GB2312" w:hAnsi="Calibri" w:eastAsia="仿宋_GB2312" w:cs="Times New Roman"/>
          <w:bCs/>
          <w:sz w:val="32"/>
          <w:szCs w:val="32"/>
        </w:rPr>
        <w:t>需方业务联系人：</w:t>
      </w:r>
      <w:r>
        <w:rPr>
          <w:rFonts w:hint="eastAsia" w:ascii="仿宋_GB2312" w:eastAsia="仿宋_GB2312" w:cs="Times New Roman"/>
          <w:bCs/>
          <w:sz w:val="32"/>
          <w:szCs w:val="32"/>
        </w:rPr>
        <w:t>王</w:t>
      </w:r>
      <w:r>
        <w:rPr>
          <w:rFonts w:hint="eastAsia" w:ascii="仿宋_GB2312" w:hAnsi="Calibri" w:eastAsia="仿宋_GB2312" w:cs="Times New Roman"/>
          <w:bCs/>
          <w:sz w:val="32"/>
          <w:szCs w:val="32"/>
        </w:rPr>
        <w:t>工，电话：15098992625</w:t>
      </w:r>
    </w:p>
    <w:p w14:paraId="506D43E2">
      <w:pPr>
        <w:spacing w:line="560" w:lineRule="exact"/>
        <w:ind w:firstLine="640" w:firstLineChars="200"/>
        <w:rPr>
          <w:rFonts w:ascii="仿宋_GB2312" w:hAnsi="Calibri" w:eastAsia="仿宋_GB2312" w:cs="Times New Roman"/>
          <w:bCs/>
          <w:sz w:val="32"/>
          <w:szCs w:val="32"/>
        </w:rPr>
      </w:pPr>
    </w:p>
    <w:p w14:paraId="0AD20BF2">
      <w:pPr>
        <w:spacing w:line="560" w:lineRule="exact"/>
        <w:ind w:firstLine="3092" w:firstLineChars="700"/>
        <w:rPr>
          <w:rFonts w:hint="eastAsia" w:ascii="黑体" w:hAnsi="黑体" w:eastAsia="黑体" w:cs="黑体"/>
          <w:b/>
          <w:sz w:val="44"/>
          <w:szCs w:val="44"/>
        </w:rPr>
        <w:sectPr>
          <w:pgSz w:w="11906" w:h="16838"/>
          <w:pgMar w:top="1701" w:right="1474" w:bottom="1474" w:left="1587" w:header="851" w:footer="992" w:gutter="0"/>
          <w:cols w:space="425" w:num="1"/>
          <w:docGrid w:type="lines" w:linePitch="312" w:charSpace="0"/>
        </w:sectPr>
      </w:pPr>
    </w:p>
    <w:p w14:paraId="37210A66">
      <w:pPr>
        <w:autoSpaceDE w:val="0"/>
        <w:autoSpaceDN w:val="0"/>
        <w:adjustRightInd w:val="0"/>
        <w:snapToGrid w:val="0"/>
        <w:ind w:left="344" w:hanging="344" w:hangingChars="163"/>
        <w:rPr>
          <w:rFonts w:cs="仿宋"/>
          <w:b/>
        </w:rPr>
      </w:pPr>
      <w:r>
        <w:rPr>
          <w:rFonts w:hint="eastAsia" w:cs="仿宋"/>
          <w:b/>
        </w:rPr>
        <w:t xml:space="preserve">附件1：           </w:t>
      </w:r>
    </w:p>
    <w:p w14:paraId="0998A979">
      <w:pPr>
        <w:tabs>
          <w:tab w:val="left" w:pos="1221"/>
        </w:tabs>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济南黄河爆破工程有限责任公司</w:t>
      </w:r>
    </w:p>
    <w:p w14:paraId="40AA4632">
      <w:pPr>
        <w:tabs>
          <w:tab w:val="left" w:pos="1221"/>
        </w:tabs>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工作场所职业病危害检测技术服务采购报价单</w:t>
      </w:r>
    </w:p>
    <w:p w14:paraId="5F53D1B1">
      <w:pPr>
        <w:tabs>
          <w:tab w:val="left" w:pos="1221"/>
        </w:tabs>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检测技术服务单位（章）：</w:t>
      </w:r>
    </w:p>
    <w:tbl>
      <w:tblPr>
        <w:tblStyle w:val="13"/>
        <w:tblW w:w="136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664"/>
        <w:gridCol w:w="4668"/>
        <w:gridCol w:w="4823"/>
        <w:gridCol w:w="2523"/>
      </w:tblGrid>
      <w:tr w14:paraId="1751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005" w:hRule="atLeast"/>
        </w:trPr>
        <w:tc>
          <w:tcPr>
            <w:tcW w:w="1664" w:type="dxa"/>
            <w:vAlign w:val="center"/>
          </w:tcPr>
          <w:p w14:paraId="2DA051DD">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4668" w:type="dxa"/>
            <w:vAlign w:val="center"/>
          </w:tcPr>
          <w:p w14:paraId="7A714799">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p>
        </w:tc>
        <w:tc>
          <w:tcPr>
            <w:tcW w:w="4823" w:type="dxa"/>
            <w:vAlign w:val="center"/>
          </w:tcPr>
          <w:p w14:paraId="66D4C140">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总价（元/含税）</w:t>
            </w:r>
          </w:p>
        </w:tc>
        <w:tc>
          <w:tcPr>
            <w:tcW w:w="2523" w:type="dxa"/>
            <w:vAlign w:val="center"/>
          </w:tcPr>
          <w:p w14:paraId="0B069A15">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25D7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709" w:hRule="atLeast"/>
        </w:trPr>
        <w:tc>
          <w:tcPr>
            <w:tcW w:w="1664" w:type="dxa"/>
            <w:vAlign w:val="center"/>
          </w:tcPr>
          <w:p w14:paraId="370C4670">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4668" w:type="dxa"/>
            <w:vAlign w:val="center"/>
          </w:tcPr>
          <w:p w14:paraId="6CF71A7D">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济南黄河爆破工程有限责任工作场所职业病危害检测技术服务</w:t>
            </w:r>
          </w:p>
        </w:tc>
        <w:tc>
          <w:tcPr>
            <w:tcW w:w="4823" w:type="dxa"/>
            <w:vAlign w:val="center"/>
          </w:tcPr>
          <w:p w14:paraId="5EC02B83">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税率：</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tc>
        <w:tc>
          <w:tcPr>
            <w:tcW w:w="2523" w:type="dxa"/>
            <w:vAlign w:val="center"/>
          </w:tcPr>
          <w:p w14:paraId="0D523568">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增值税专用发票</w:t>
            </w:r>
          </w:p>
        </w:tc>
      </w:tr>
      <w:tr w14:paraId="2FED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822" w:hRule="atLeast"/>
        </w:trPr>
        <w:tc>
          <w:tcPr>
            <w:tcW w:w="1664" w:type="dxa"/>
            <w:vAlign w:val="center"/>
          </w:tcPr>
          <w:p w14:paraId="59E56BE1">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大写：</w:t>
            </w:r>
          </w:p>
        </w:tc>
        <w:tc>
          <w:tcPr>
            <w:tcW w:w="12014" w:type="dxa"/>
            <w:gridSpan w:val="3"/>
            <w:vAlign w:val="center"/>
          </w:tcPr>
          <w:p w14:paraId="516878BE">
            <w:pPr>
              <w:autoSpaceDE w:val="0"/>
              <w:autoSpaceDN w:val="0"/>
              <w:adjustRightInd w:val="0"/>
              <w:jc w:val="center"/>
              <w:rPr>
                <w:rFonts w:hint="eastAsia" w:ascii="仿宋_GB2312" w:hAnsi="仿宋_GB2312" w:eastAsia="仿宋_GB2312" w:cs="仿宋_GB2312"/>
                <w:sz w:val="32"/>
                <w:szCs w:val="32"/>
              </w:rPr>
            </w:pPr>
          </w:p>
        </w:tc>
      </w:tr>
    </w:tbl>
    <w:p w14:paraId="32594B29">
      <w:pPr>
        <w:tabs>
          <w:tab w:val="left" w:pos="5436"/>
        </w:tabs>
        <w:jc w:val="left"/>
        <w:rPr>
          <w:rFonts w:hint="eastAsia" w:ascii="仿宋_GB2312" w:hAnsi="仿宋_GB2312" w:eastAsia="仿宋_GB2312" w:cs="仿宋_GB2312"/>
          <w:sz w:val="32"/>
          <w:szCs w:val="32"/>
        </w:rPr>
      </w:pPr>
    </w:p>
    <w:p w14:paraId="26A53498">
      <w:pPr>
        <w:tabs>
          <w:tab w:val="left" w:pos="5436"/>
        </w:tabs>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作业场所职业危害因素检测技术技术服务单位       联系人：        电话：                               </w:t>
      </w:r>
    </w:p>
    <w:p w14:paraId="2ADF76C0">
      <w:pPr>
        <w:autoSpaceDE w:val="0"/>
        <w:autoSpaceDN w:val="0"/>
        <w:adjustRightInd w:val="0"/>
        <w:jc w:val="center"/>
        <w:rPr>
          <w:sz w:val="22"/>
          <w:szCs w:val="22"/>
        </w:rPr>
      </w:pPr>
      <w:r>
        <w:rPr>
          <w:rFonts w:hint="eastAsia" w:ascii="仿宋_GB2312" w:hAnsi="仿宋_GB2312" w:eastAsia="仿宋_GB2312" w:cs="仿宋_GB2312"/>
          <w:sz w:val="32"/>
          <w:szCs w:val="32"/>
        </w:rPr>
        <w:t xml:space="preserve">                                                                   年    月     日</w:t>
      </w:r>
    </w:p>
    <w:p w14:paraId="59DB5AD2">
      <w:pPr>
        <w:spacing w:line="560" w:lineRule="exact"/>
        <w:ind w:firstLine="3092" w:firstLineChars="700"/>
        <w:rPr>
          <w:rFonts w:hint="eastAsia" w:ascii="黑体" w:hAnsi="黑体" w:eastAsia="黑体" w:cs="黑体"/>
          <w:b/>
          <w:sz w:val="44"/>
          <w:szCs w:val="44"/>
        </w:rPr>
      </w:pPr>
    </w:p>
    <w:p w14:paraId="4F381789">
      <w:pPr>
        <w:spacing w:line="560" w:lineRule="exact"/>
        <w:ind w:firstLine="3092" w:firstLineChars="700"/>
        <w:rPr>
          <w:rFonts w:hint="eastAsia" w:ascii="黑体" w:hAnsi="黑体" w:eastAsia="黑体" w:cs="黑体"/>
          <w:b/>
          <w:sz w:val="44"/>
          <w:szCs w:val="44"/>
        </w:rPr>
        <w:sectPr>
          <w:pgSz w:w="16838" w:h="11906" w:orient="landscape"/>
          <w:pgMar w:top="1587" w:right="1701" w:bottom="1474" w:left="1474" w:header="851" w:footer="992" w:gutter="0"/>
          <w:cols w:space="425" w:num="1"/>
          <w:docGrid w:type="lines" w:linePitch="312" w:charSpace="0"/>
        </w:sectPr>
      </w:pPr>
    </w:p>
    <w:p w14:paraId="35EBB62A">
      <w:pPr>
        <w:autoSpaceDE w:val="0"/>
        <w:autoSpaceDN w:val="0"/>
        <w:adjustRightInd w:val="0"/>
        <w:snapToGrid w:val="0"/>
        <w:ind w:left="342" w:hanging="342" w:hangingChars="163"/>
        <w:rPr>
          <w:rFonts w:cs="仿宋"/>
          <w:b/>
        </w:rPr>
        <w:sectPr>
          <w:pgSz w:w="16838" w:h="11906" w:orient="landscape"/>
          <w:pgMar w:top="1587" w:right="1701" w:bottom="1474" w:left="1474" w:header="851" w:footer="992" w:gutter="0"/>
          <w:cols w:space="425" w:num="1"/>
          <w:docGrid w:type="lines" w:linePitch="312" w:charSpace="0"/>
        </w:sectPr>
      </w:pPr>
      <w:r>
        <mc:AlternateContent>
          <mc:Choice Requires="wps">
            <w:drawing>
              <wp:anchor distT="0" distB="0" distL="114300" distR="114300" simplePos="0" relativeHeight="251659264" behindDoc="0" locked="0" layoutInCell="1" allowOverlap="1">
                <wp:simplePos x="0" y="0"/>
                <wp:positionH relativeFrom="column">
                  <wp:posOffset>-57785</wp:posOffset>
                </wp:positionH>
                <wp:positionV relativeFrom="paragraph">
                  <wp:posOffset>321945</wp:posOffset>
                </wp:positionV>
                <wp:extent cx="8537575" cy="5183505"/>
                <wp:effectExtent l="4445" t="4445" r="11430" b="12700"/>
                <wp:wrapNone/>
                <wp:docPr id="1" name="文本框 1"/>
                <wp:cNvGraphicFramePr/>
                <a:graphic xmlns:a="http://schemas.openxmlformats.org/drawingml/2006/main">
                  <a:graphicData uri="http://schemas.microsoft.com/office/word/2010/wordprocessingShape">
                    <wps:wsp>
                      <wps:cNvSpPr txBox="1"/>
                      <wps:spPr>
                        <a:xfrm>
                          <a:off x="878205" y="1329690"/>
                          <a:ext cx="8537575" cy="51835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92DC8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5pt;margin-top:25.35pt;height:408.15pt;width:672.25pt;z-index:251659264;mso-width-relative:page;mso-height-relative:page;" fillcolor="#FFFFFF [3201]" filled="t" stroked="t" coordsize="21600,21600" o:gfxdata="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W1gbdcAAAAKAQAADwAAAAAAAAABACAAAAAiAAAAZHJzL2Rvd25yZXYueG1sUEsBAhQAFAAAAAgA&#10;h07iQCgvPzNfAgAAwwQAAA4AAAAAAAAAAQAgAAAAJgEAAGRycy9lMm9Eb2MueG1sUEsFBgAAAAAG&#10;AAYAWQEAAPcFAAAAAA==&#10;">
                <v:fill on="t" focussize="0,0"/>
                <v:stroke weight="0.5pt" color="#000000 [3204]" joinstyle="round"/>
                <v:imagedata o:title=""/>
                <o:lock v:ext="edit" aspectratio="f"/>
                <v:textbox>
                  <w:txbxContent>
                    <w:p w14:paraId="0C92DC88"/>
                  </w:txbxContent>
                </v:textbox>
              </v:shape>
            </w:pict>
          </mc:Fallback>
        </mc:AlternateContent>
      </w:r>
      <w:r>
        <w:rPr>
          <w:rFonts w:hint="eastAsia" w:cs="仿宋"/>
          <w:b/>
        </w:rPr>
        <w:t>附件2：单位营业执照、资质证件</w:t>
      </w:r>
    </w:p>
    <w:p w14:paraId="2EB84978">
      <w:pPr>
        <w:spacing w:line="560" w:lineRule="exact"/>
        <w:rPr>
          <w:rFonts w:cs="仿宋"/>
          <w:b/>
        </w:rPr>
      </w:pPr>
      <w:r>
        <w:rPr>
          <w:rFonts w:hint="eastAsia" w:cs="仿宋"/>
          <w:b/>
        </w:rPr>
        <w:t>附件3：</w:t>
      </w:r>
    </w:p>
    <w:p w14:paraId="6EE73CC2">
      <w:pPr>
        <w:spacing w:line="560" w:lineRule="exact"/>
        <w:ind w:firstLine="3092" w:firstLineChars="700"/>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 xml:space="preserve">公司介绍 </w:t>
      </w:r>
    </w:p>
    <w:p w14:paraId="3812D936">
      <w:pPr>
        <w:widowControl/>
        <w:spacing w:line="560" w:lineRule="exact"/>
        <w:ind w:firstLine="640" w:firstLineChars="200"/>
        <w:jc w:val="left"/>
        <w:rPr>
          <w:rFonts w:hint="eastAsia" w:ascii="仿宋_GB2312" w:hAnsi="仿宋_GB2312" w:eastAsia="仿宋_GB2312" w:cs="仿宋_GB2312"/>
          <w:color w:val="373737"/>
          <w:kern w:val="0"/>
          <w:sz w:val="32"/>
          <w:szCs w:val="32"/>
          <w:lang w:bidi="ar"/>
        </w:rPr>
      </w:pPr>
      <w:r>
        <w:rPr>
          <w:rFonts w:hint="eastAsia" w:ascii="仿宋_GB2312" w:hAnsi="仿宋_GB2312" w:eastAsia="仿宋_GB2312" w:cs="仿宋_GB2312"/>
          <w:color w:val="373737"/>
          <w:kern w:val="0"/>
          <w:sz w:val="32"/>
          <w:szCs w:val="32"/>
          <w:lang w:bidi="ar"/>
        </w:rPr>
        <w:t>济南黄河爆破工程有限责任公司成立于1986年，是山东省成立最早的专业化爆破公司，隶属</w:t>
      </w:r>
      <w:r>
        <w:rPr>
          <w:rFonts w:hint="eastAsia" w:ascii="仿宋_GB2312" w:hAnsi="仿宋_GB2312" w:eastAsia="仿宋_GB2312" w:cs="仿宋_GB2312"/>
          <w:color w:val="000000"/>
          <w:kern w:val="0"/>
          <w:sz w:val="32"/>
          <w:szCs w:val="32"/>
        </w:rPr>
        <w:t>山东济钢环保新材料有限公司</w:t>
      </w:r>
      <w:r>
        <w:rPr>
          <w:rFonts w:hint="eastAsia" w:ascii="仿宋_GB2312" w:hAnsi="仿宋_GB2312" w:eastAsia="仿宋_GB2312" w:cs="仿宋_GB2312"/>
          <w:color w:val="373737"/>
          <w:kern w:val="0"/>
          <w:sz w:val="32"/>
          <w:szCs w:val="32"/>
          <w:lang w:bidi="ar"/>
        </w:rPr>
        <w:t>，济钢集团有限公司3级子工资，为中国工程爆破协会会员单位。</w:t>
      </w:r>
    </w:p>
    <w:p w14:paraId="4623B479">
      <w:pPr>
        <w:adjustRightInd w:val="0"/>
        <w:snapToGrid w:val="0"/>
        <w:spacing w:line="560" w:lineRule="exact"/>
        <w:ind w:firstLine="640" w:firstLineChars="200"/>
        <w:rPr>
          <w:rFonts w:hint="eastAsia" w:ascii="仿宋_GB2312" w:hAnsi="仿宋_GB2312" w:eastAsia="仿宋_GB2312" w:cs="仿宋_GB2312"/>
          <w:color w:val="373737"/>
          <w:kern w:val="0"/>
          <w:sz w:val="32"/>
          <w:szCs w:val="32"/>
          <w:lang w:bidi="ar"/>
        </w:rPr>
      </w:pPr>
      <w:r>
        <w:rPr>
          <w:rFonts w:hint="eastAsia" w:ascii="仿宋_GB2312" w:hAnsi="仿宋_GB2312" w:eastAsia="仿宋_GB2312" w:cs="仿宋_GB2312"/>
          <w:color w:val="373737"/>
          <w:kern w:val="0"/>
          <w:sz w:val="32"/>
          <w:szCs w:val="32"/>
          <w:lang w:bidi="ar"/>
        </w:rPr>
        <w:t>经营范围：一般项目：建筑用石加工；新型建筑材料制造（不含危险化学品）；建筑工程机械与设备租赁；机械设备租赁；普通机械设备安装服务；园林绿化工程施工；建筑材料销售；金属材料销售；非金属矿物制品制造；非金属废料和碎屑加工处理；新材料技术研发；新材料技术推广服务。（除依法须经批准的项目外，凭营业执照依法自主开展经营活动）许可项目：</w:t>
      </w:r>
      <w:r>
        <w:rPr>
          <w:rFonts w:hint="eastAsia" w:ascii="仿宋_GB2312" w:hAnsi="仿宋_GB2312" w:eastAsia="仿宋_GB2312" w:cs="仿宋_GB2312"/>
          <w:b/>
          <w:bCs/>
          <w:color w:val="373737"/>
          <w:kern w:val="0"/>
          <w:sz w:val="32"/>
          <w:szCs w:val="32"/>
          <w:lang w:bidi="ar"/>
        </w:rPr>
        <w:t>爆破作业</w:t>
      </w:r>
      <w:r>
        <w:rPr>
          <w:rFonts w:hint="eastAsia" w:ascii="仿宋_GB2312" w:hAnsi="仿宋_GB2312" w:eastAsia="仿宋_GB2312" w:cs="仿宋_GB2312"/>
          <w:color w:val="373737"/>
          <w:kern w:val="0"/>
          <w:sz w:val="32"/>
          <w:szCs w:val="32"/>
          <w:lang w:bidi="ar"/>
        </w:rPr>
        <w:t>；建设工程施工；建筑物拆除作业（爆破作业除外）；道路货物运输（不含危险货物）。（依法须经批准的项目，经相关部门批准后方可开展经营活动，具体经营项目以相关部门批准文件或许可证件为准）</w:t>
      </w:r>
      <w:r>
        <w:rPr>
          <w:rFonts w:hint="eastAsia" w:ascii="仿宋_GB2312" w:hAnsi="仿宋_GB2312" w:eastAsia="仿宋_GB2312" w:cs="仿宋_GB2312"/>
          <w:color w:val="373737"/>
          <w:kern w:val="0"/>
          <w:sz w:val="32"/>
          <w:szCs w:val="32"/>
          <w:lang w:bidi="ar"/>
        </w:rPr>
        <w:br w:type="textWrapping"/>
      </w:r>
      <w:r>
        <w:rPr>
          <w:rFonts w:hint="eastAsia" w:ascii="宋体" w:hAnsi="宋体" w:eastAsia="宋体" w:cs="宋体"/>
          <w:color w:val="373737"/>
          <w:kern w:val="0"/>
          <w:sz w:val="32"/>
          <w:szCs w:val="32"/>
          <w:lang w:bidi="ar"/>
        </w:rPr>
        <w:t>  </w:t>
      </w:r>
      <w:r>
        <w:rPr>
          <w:rFonts w:hint="eastAsia" w:ascii="仿宋_GB2312" w:hAnsi="仿宋_GB2312" w:eastAsia="仿宋_GB2312" w:cs="仿宋_GB2312"/>
          <w:color w:val="373737"/>
          <w:kern w:val="0"/>
          <w:sz w:val="32"/>
          <w:szCs w:val="32"/>
          <w:lang w:bidi="ar"/>
        </w:rPr>
        <w:t> 目前主营业务为山东济钢环保新材料有限公司弓角湾村建筑石料用灰岩矿矿山爆破及破碎筛分施工，作业点位于济南市章丘区城区东南约17km处，行政区划属济南市章丘区官庄街道。</w:t>
      </w:r>
    </w:p>
    <w:p w14:paraId="62CF6736">
      <w:pPr>
        <w:adjustRightInd w:val="0"/>
        <w:snapToGrid w:val="0"/>
        <w:spacing w:line="560" w:lineRule="exact"/>
        <w:ind w:firstLine="640" w:firstLineChars="200"/>
        <w:rPr>
          <w:rFonts w:hint="eastAsia" w:ascii="仿宋_GB2312" w:hAnsi="仿宋_GB2312" w:eastAsia="仿宋_GB2312" w:cs="仿宋_GB2312"/>
          <w:color w:val="373737"/>
          <w:kern w:val="0"/>
          <w:sz w:val="32"/>
          <w:szCs w:val="32"/>
          <w:lang w:bidi="ar"/>
        </w:rPr>
      </w:pPr>
      <w:r>
        <w:rPr>
          <w:rFonts w:hint="eastAsia" w:ascii="仿宋_GB2312" w:hAnsi="仿宋_GB2312" w:eastAsia="仿宋_GB2312" w:cs="仿宋_GB2312"/>
          <w:color w:val="373737"/>
          <w:kern w:val="0"/>
          <w:sz w:val="32"/>
          <w:szCs w:val="32"/>
          <w:lang w:bidi="ar"/>
        </w:rPr>
        <w:t>爆破开采区工艺流程为穿孔→</w:t>
      </w:r>
      <w:r>
        <w:rPr>
          <w:rFonts w:hint="eastAsia" w:ascii="仿宋_GB2312" w:hAnsi="仿宋_GB2312" w:eastAsia="仿宋_GB2312" w:cs="仿宋_GB2312"/>
          <w:b/>
          <w:bCs/>
          <w:color w:val="373737"/>
          <w:kern w:val="0"/>
          <w:sz w:val="32"/>
          <w:szCs w:val="32"/>
          <w:lang w:bidi="ar"/>
        </w:rPr>
        <w:t>爆破→二次破碎（挖掘机、</w:t>
      </w:r>
      <w:r>
        <w:rPr>
          <w:rFonts w:hint="eastAsia" w:ascii="仿宋_GB2312" w:hAnsi="仿宋_GB2312" w:eastAsia="仿宋_GB2312" w:cs="仿宋_GB2312"/>
          <w:color w:val="373737"/>
          <w:kern w:val="0"/>
          <w:sz w:val="32"/>
          <w:szCs w:val="32"/>
          <w:lang w:bidi="ar"/>
        </w:rPr>
        <w:t>液压碎石</w:t>
      </w:r>
      <w:r>
        <w:rPr>
          <w:rFonts w:hint="eastAsia" w:ascii="仿宋_GB2312" w:hAnsi="仿宋_GB2312" w:eastAsia="仿宋_GB2312" w:cs="仿宋_GB2312"/>
          <w:b/>
          <w:bCs/>
          <w:color w:val="373737"/>
          <w:kern w:val="0"/>
          <w:sz w:val="32"/>
          <w:szCs w:val="32"/>
          <w:lang w:bidi="ar"/>
        </w:rPr>
        <w:t>）</w:t>
      </w:r>
      <w:r>
        <w:rPr>
          <w:rFonts w:hint="eastAsia" w:ascii="仿宋_GB2312" w:hAnsi="仿宋_GB2312" w:eastAsia="仿宋_GB2312" w:cs="仿宋_GB2312"/>
          <w:color w:val="373737"/>
          <w:kern w:val="0"/>
          <w:sz w:val="32"/>
          <w:szCs w:val="32"/>
          <w:lang w:bidi="ar"/>
        </w:rPr>
        <w:t>锤→铲装→运输。（其中</w:t>
      </w:r>
      <w:r>
        <w:rPr>
          <w:rFonts w:hint="eastAsia" w:ascii="仿宋_GB2312" w:hAnsi="仿宋_GB2312" w:eastAsia="仿宋_GB2312" w:cs="仿宋_GB2312"/>
          <w:b/>
          <w:bCs/>
          <w:color w:val="373737"/>
          <w:kern w:val="0"/>
          <w:sz w:val="32"/>
          <w:szCs w:val="32"/>
          <w:lang w:bidi="ar"/>
        </w:rPr>
        <w:t>爆破→二次破碎为本单位施工</w:t>
      </w:r>
      <w:r>
        <w:rPr>
          <w:rFonts w:hint="eastAsia" w:ascii="仿宋_GB2312" w:hAnsi="仿宋_GB2312" w:eastAsia="仿宋_GB2312" w:cs="仿宋_GB2312"/>
          <w:color w:val="373737"/>
          <w:kern w:val="0"/>
          <w:sz w:val="32"/>
          <w:szCs w:val="32"/>
          <w:lang w:bidi="ar"/>
        </w:rPr>
        <w:t>）</w:t>
      </w:r>
    </w:p>
    <w:p w14:paraId="49B779FA">
      <w:pPr>
        <w:adjustRightInd w:val="0"/>
        <w:snapToGrid w:val="0"/>
        <w:spacing w:line="560" w:lineRule="exact"/>
        <w:ind w:firstLine="640" w:firstLineChars="200"/>
        <w:rPr>
          <w:rFonts w:hint="eastAsia" w:ascii="仿宋_GB2312" w:hAnsi="仿宋_GB2312" w:eastAsia="仿宋_GB2312" w:cs="仿宋_GB2312"/>
          <w:color w:val="373737"/>
          <w:kern w:val="0"/>
          <w:sz w:val="32"/>
          <w:szCs w:val="32"/>
          <w:lang w:bidi="ar"/>
        </w:rPr>
      </w:pPr>
      <w:r>
        <w:rPr>
          <w:rFonts w:hint="eastAsia" w:ascii="仿宋_GB2312" w:hAnsi="仿宋_GB2312" w:eastAsia="仿宋_GB2312" w:cs="仿宋_GB2312"/>
          <w:color w:val="373737"/>
          <w:kern w:val="0"/>
          <w:sz w:val="32"/>
          <w:szCs w:val="32"/>
          <w:lang w:bidi="ar"/>
        </w:rPr>
        <w:t>爆破采用2#乳化炸药+电子雷管起爆，微差起爆方式，主装药为岩石膨化硝铵炸药。矿山不设置爆破器材库，各种爆破器材和起爆器材采用配送制。爆破一般位于采场300m的距离引爆，矿山爆破15分钟之后待有毒有害气体散开后方可进入采场。</w:t>
      </w:r>
    </w:p>
    <w:sectPr>
      <w:pgSz w:w="11906" w:h="16838"/>
      <w:pgMar w:top="1701" w:right="1474"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xNjliY2VhZTRhYmZmZTg3NjAzODU0M2ExYWM5NWMifQ=="/>
  </w:docVars>
  <w:rsids>
    <w:rsidRoot w:val="00E03D1D"/>
    <w:rsid w:val="00297F12"/>
    <w:rsid w:val="002E4F13"/>
    <w:rsid w:val="005735D1"/>
    <w:rsid w:val="00E03D1D"/>
    <w:rsid w:val="06F51E8A"/>
    <w:rsid w:val="0C427F05"/>
    <w:rsid w:val="1E813146"/>
    <w:rsid w:val="29D659C5"/>
    <w:rsid w:val="2C0B6632"/>
    <w:rsid w:val="2CBA095B"/>
    <w:rsid w:val="2F2800F4"/>
    <w:rsid w:val="33454F09"/>
    <w:rsid w:val="385A7B7E"/>
    <w:rsid w:val="41482B4C"/>
    <w:rsid w:val="61395C0E"/>
    <w:rsid w:val="66EA3B2B"/>
    <w:rsid w:val="676E37C1"/>
    <w:rsid w:val="6B3854A3"/>
    <w:rsid w:val="7A095B5E"/>
    <w:rsid w:val="7BFB0E5B"/>
    <w:rsid w:val="7E710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pacing w:line="360" w:lineRule="auto"/>
      <w:ind w:firstLine="420" w:firstLineChars="200"/>
    </w:pPr>
    <w:rPr>
      <w:sz w:val="28"/>
    </w:rPr>
  </w:style>
  <w:style w:type="paragraph" w:styleId="3">
    <w:name w:val="index 5"/>
    <w:basedOn w:val="1"/>
    <w:next w:val="1"/>
    <w:qFormat/>
    <w:uiPriority w:val="0"/>
    <w:pPr>
      <w:ind w:left="1680"/>
    </w:pPr>
    <w:rPr>
      <w:rFonts w:ascii="Calibri" w:hAnsi="Calibri" w:eastAsia="宋体" w:cs="Times New Roman"/>
      <w:szCs w:val="22"/>
    </w:rPr>
  </w:style>
  <w:style w:type="paragraph" w:styleId="4">
    <w:name w:val="annotation text"/>
    <w:basedOn w:val="1"/>
    <w:link w:val="16"/>
    <w:qFormat/>
    <w:uiPriority w:val="0"/>
    <w:pPr>
      <w:widowControl/>
      <w:jc w:val="left"/>
    </w:pPr>
    <w:rPr>
      <w:rFonts w:ascii="Times New Roman" w:hAnsi="Times New Roman" w:eastAsia="宋体" w:cs="Times New Roman"/>
      <w:kern w:val="0"/>
      <w:sz w:val="20"/>
      <w:szCs w:val="20"/>
      <w:lang w:val="zh-CN"/>
    </w:rPr>
  </w:style>
  <w:style w:type="paragraph" w:styleId="5">
    <w:name w:val="Body Text"/>
    <w:basedOn w:val="1"/>
    <w:qFormat/>
    <w:uiPriority w:val="0"/>
    <w:pPr>
      <w:jc w:val="center"/>
    </w:pPr>
    <w:rPr>
      <w:rFonts w:ascii="楷体_GB2312" w:hAnsi="Calibri" w:eastAsia="楷体_GB2312" w:cs="Times New Roman"/>
      <w:b/>
      <w:bCs/>
      <w:sz w:val="24"/>
      <w:szCs w:val="22"/>
    </w:rPr>
  </w:style>
  <w:style w:type="paragraph" w:styleId="6">
    <w:name w:val="Body Text Indent"/>
    <w:basedOn w:val="1"/>
    <w:qFormat/>
    <w:uiPriority w:val="99"/>
    <w:pPr>
      <w:spacing w:after="120"/>
      <w:ind w:left="420" w:leftChars="200"/>
    </w:pPr>
    <w:rPr>
      <w:rFonts w:ascii="Times New Roman" w:hAnsi="Times New Roman" w:eastAsia="宋体" w:cs="Times New Roman"/>
      <w:szCs w:val="22"/>
    </w:rPr>
  </w:style>
  <w:style w:type="paragraph" w:styleId="7">
    <w:name w:val="footer"/>
    <w:basedOn w:val="1"/>
    <w:link w:val="17"/>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kern w:val="0"/>
      <w:sz w:val="18"/>
      <w:szCs w:val="18"/>
      <w:lang w:val="zh-CN"/>
    </w:rPr>
  </w:style>
  <w:style w:type="paragraph" w:styleId="9">
    <w:name w:val="toc 2"/>
    <w:basedOn w:val="1"/>
    <w:next w:val="1"/>
    <w:qFormat/>
    <w:uiPriority w:val="39"/>
    <w:pPr>
      <w:spacing w:before="120"/>
      <w:ind w:left="210"/>
    </w:pPr>
    <w:rPr>
      <w:rFonts w:ascii="Calibri" w:hAnsi="Calibri" w:eastAsia="宋体" w:cs="Times New Roman"/>
      <w:i/>
      <w:iCs/>
      <w:sz w:val="20"/>
      <w:szCs w:val="20"/>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Body Text First Indent"/>
    <w:basedOn w:val="5"/>
    <w:qFormat/>
    <w:uiPriority w:val="0"/>
    <w:pPr>
      <w:spacing w:after="120"/>
      <w:ind w:firstLine="420" w:firstLineChars="100"/>
    </w:pPr>
    <w:rPr>
      <w:sz w:val="21"/>
      <w:szCs w:val="24"/>
    </w:rPr>
  </w:style>
  <w:style w:type="paragraph" w:styleId="12">
    <w:name w:val="Body Text First Indent 2"/>
    <w:basedOn w:val="6"/>
    <w:qFormat/>
    <w:uiPriority w:val="99"/>
    <w:pPr>
      <w:ind w:firstLine="420" w:firstLineChars="200"/>
    </w:p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批注文字 字符1"/>
    <w:link w:val="4"/>
    <w:qFormat/>
    <w:uiPriority w:val="0"/>
    <w:rPr>
      <w:rFonts w:ascii="Times New Roman" w:hAnsi="Times New Roman" w:eastAsia="宋体" w:cs="Times New Roman"/>
      <w:kern w:val="0"/>
      <w:sz w:val="20"/>
      <w:szCs w:val="20"/>
      <w:lang w:val="zh-CN"/>
    </w:rPr>
  </w:style>
  <w:style w:type="character" w:customStyle="1" w:styleId="17">
    <w:name w:val="页脚 字符"/>
    <w:basedOn w:val="15"/>
    <w:link w:val="7"/>
    <w:qFormat/>
    <w:uiPriority w:val="99"/>
    <w:rPr>
      <w:rFonts w:ascii="Times New Roman" w:hAnsi="Times New Roman" w:eastAsia="宋体" w:cs="Times New Roman"/>
      <w:sz w:val="18"/>
      <w:szCs w:val="18"/>
    </w:rPr>
  </w:style>
  <w:style w:type="character" w:customStyle="1" w:styleId="18">
    <w:name w:val="页眉 字符1"/>
    <w:link w:val="8"/>
    <w:qFormat/>
    <w:uiPriority w:val="99"/>
    <w:rPr>
      <w:rFonts w:ascii="Calibri" w:hAnsi="Calibri" w:eastAsia="宋体" w:cs="Times New Roman"/>
      <w:kern w:val="0"/>
      <w:sz w:val="18"/>
      <w:szCs w:val="18"/>
      <w:lang w:val="zh-CN"/>
    </w:rPr>
  </w:style>
  <w:style w:type="character" w:customStyle="1" w:styleId="19">
    <w:name w:val="页眉 字符"/>
    <w:basedOn w:val="15"/>
    <w:semiHidden/>
    <w:qFormat/>
    <w:uiPriority w:val="99"/>
    <w:rPr>
      <w:rFonts w:ascii="Calibri" w:hAnsi="Calibri" w:eastAsia="宋体" w:cs="Times New Roman"/>
      <w:kern w:val="2"/>
      <w:sz w:val="18"/>
      <w:szCs w:val="18"/>
      <w:lang w:val="en-US" w:eastAsia="zh-CN" w:bidi="ar-SA"/>
    </w:rPr>
  </w:style>
  <w:style w:type="character" w:customStyle="1" w:styleId="20">
    <w:name w:val="NormalCharacter"/>
    <w:semiHidden/>
    <w:qFormat/>
    <w:uiPriority w:val="99"/>
    <w:rPr>
      <w:rFonts w:ascii="Calibri" w:hAnsi="Calibri" w:eastAsia="宋体" w:cs="Times New Roman"/>
      <w:kern w:val="2"/>
      <w:sz w:val="21"/>
      <w:szCs w:val="22"/>
      <w:lang w:val="en-US" w:eastAsia="zh-CN" w:bidi="ar-SA"/>
    </w:rPr>
  </w:style>
  <w:style w:type="character" w:customStyle="1" w:styleId="21">
    <w:name w:val="批注文字 字符"/>
    <w:basedOn w:val="15"/>
    <w:semiHidden/>
    <w:qFormat/>
    <w:uiPriority w:val="99"/>
    <w:rPr>
      <w:rFonts w:ascii="Calibri" w:hAnsi="Calibri" w:eastAsia="宋体" w:cs="Times New Roman"/>
      <w:kern w:val="2"/>
      <w:sz w:val="21"/>
      <w:szCs w:val="22"/>
      <w:lang w:val="en-US" w:eastAsia="zh-CN" w:bidi="ar-SA"/>
    </w:rPr>
  </w:style>
  <w:style w:type="paragraph" w:customStyle="1" w:styleId="22">
    <w:name w:val="公司标题"/>
    <w:basedOn w:val="1"/>
    <w:qFormat/>
    <w:uiPriority w:val="0"/>
    <w:pPr>
      <w:jc w:val="center"/>
    </w:pPr>
    <w:rPr>
      <w:rFonts w:ascii="Times New Roman" w:hAnsi="Times New Roman" w:eastAsia="宋体" w:cs="Times New Roman"/>
      <w:b/>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563</Words>
  <Characters>575</Characters>
  <Lines>35</Lines>
  <Paragraphs>31</Paragraphs>
  <TotalTime>1</TotalTime>
  <ScaleCrop>false</ScaleCrop>
  <LinksUpToDate>false</LinksUpToDate>
  <CharactersWithSpaces>1107</CharactersWithSpaces>
  <Application>WPS Office_12.1.0.23542_F1E327BC-269C-435d-A152-05C5408002CA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2026-07-22T07:00:00Z</dcterms:created>
  <dc:creator>Administrator</dc:creator>
  <cp:lastModifiedBy>Yuxue</cp:lastModifiedBy>
  <dcterms:modified xsi:type="dcterms:W3CDTF">2026-07-27T01:41:52Z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eyJoZGlkIjoiZjVmMjY5MGUyNjU5ZjUxOTVhY2ZiYjA1Y2FjNzM3ZWIiLCJ1c2VySWQiOiIxOTM1NTU3NTIifQ==</vt:lpwstr>
  </property>
  <property fmtid="{D5CDD505-2E9C-101B-9397-08002B2CF9AE}" pid="4" name="ICV">
    <vt:lpwstr>15A6FBD44CE84E60878158B58056EE40_13</vt:lpwstr>
  </property>
</Properties>
</file>